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全国青少年校园足球特色学校</w:t>
      </w:r>
    </w:p>
    <w:p>
      <w:pPr>
        <w:spacing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创建指标体系</w:t>
      </w:r>
    </w:p>
    <w:tbl>
      <w:tblPr>
        <w:tblStyle w:val="4"/>
        <w:tblW w:w="9412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18"/>
        <w:gridCol w:w="4799"/>
        <w:gridCol w:w="717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评审指标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主要观测点</w:t>
            </w:r>
          </w:p>
        </w:tc>
        <w:tc>
          <w:tcPr>
            <w:tcW w:w="47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评审内容与分值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分值分配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25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组织领导（10分）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落实国家政策，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将校园足球纳入学校发展规划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体育指导思想明确，重视学校体育和学生体质健康工作，把校园足球作为增强学生体质健康的重要举措（1分），将校园足球纳入学校发展规划和年度工作计划（1分），有校园足球发展目标及规划并符合学校实际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健全工作机制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成立校园足球工作领导小组，由校长专人负责，学校其他机构共同参与（1分），领导小组成员分工明确（1分）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完善规章制度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制定有校园足球工作招生、教学管理规章制度（1分）、课余训练和竞赛规章制度（1分）、运动安全防范措施与保障（1分）、师资培训规章制度（1分）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条件保障（27分）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体育师资队伍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（7分）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体育教师配备达到国家标准（2分），足球专项教师大于4、3、2、1人（含）以上（分别给4、3、2分），每年有一次以上培训机会（1分）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体育教师待遇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体育教师开展体育教学和足球训练及活动计入工作量（2分），并保证在评优评比与工资待遇（1分）、职务评聘（1分）等方面享受同等待遇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场地设施建设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（10分）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场地设施、器械配备达到国家标准（3分），并建设有11、7、5人制的足球场地（分别给5、4、3分），能满足教学和课余足球训练需要，足球器材数量齐备、并有明确的补充机制（2分）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体育经费投入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（6分）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设立有体育工作专项经费，每年生均体育经费不低于生均公用经费的10%（3分），能为学生购买有校方责任险（1分），并为学生新增购买运动意外伤害险（2分）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5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教育教学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（27分）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教学理念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深化学校体育改革，坚持健康第一，每学年《国家学生体质健康标准》测试率达到100%（2分），把足球作为立德树人的载体，积极推进素质教育，促进学生全面发展，健康成长，《国家学生体质健康标准》测试率优良率达到30%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体育课时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（9分）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足开齐体育课（1—2年级每周4学时，3—6年级每周3学时，7—9年级每周3学时，9—12年级每周2学时）（3分），义务教育阶段把足球作为体育课必修内容（1分），每周每班不少于一节足球教学课（3分），高中阶段学校开设足球选修课（1分），每天安排有体育大课间活动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足球课程资源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开发和编制有足球校本教材（3分），有详细的足球教学教案（2分），每周实施适合学生年龄特点的足球教学和课外活动3、2、1次（分别给3、2、1分）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校园足球文化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（6分）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每学年有4、3、2、1次足球主题校园文化活动（如摄影、绘画、征文、演讲等）（分别给4、3、2、1分），建立有校园足球信息平台（1分），动态报道足球活动、交流工作经验、展示特色成果（1分）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训练与竞赛（33分）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足球社团组织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（9分）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学校成立足球俱乐部或兴趣小组（3分），小学三年级以上建有班级代表队（1分）、年级代表队（1分），学校建有校级足球代表队男队（1分）、女队（1分），学生基本达到全员参与足球（2分）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开展训练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（12分）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足球代表队和课外足球俱乐部制定有系统、科学的训练计划（2分），每周开展课余足球训练5、4、3、2次（分别给5、4、3、2分），并配备有安全、医疗等应急方案（1分），每学期邀请校外专业教练员提供技术指导不少于5、4、3、2次（分别给4、3、2、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组织竞赛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（8分）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制订有足球竞赛制度（1分）；每年组织校内足球班级联赛（2分），每个班级参与比赛场次每年不少于10、5场（分别给2、1分），积极参加区域内校园足球联赛（2分）；承办本地足球比赛次（1分）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（4分）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对学校足球代表队运动员参加训练、比赛，制定有具体的文化学习计划和要求（2分），其文化学习成绩达到同年级平均水平（2分）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后备人才培养（3分）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输送优秀学生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（3分）</w:t>
            </w:r>
          </w:p>
        </w:tc>
        <w:tc>
          <w:tcPr>
            <w:tcW w:w="479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近年向上一级学校足球运动队输送优秀人才不少于3、2、1名（分别给3、2、1分）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总得分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一票否决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1．未能确保每周一节足球课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2．《国家学生体质健康标准》优良率连续两年下降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3．未开展校内班级联赛活动</w:t>
            </w:r>
          </w:p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49D"/>
    <w:rsid w:val="00075FFC"/>
    <w:rsid w:val="0007792E"/>
    <w:rsid w:val="00114C71"/>
    <w:rsid w:val="005F2EEB"/>
    <w:rsid w:val="0072249D"/>
    <w:rsid w:val="008713C9"/>
    <w:rsid w:val="008C4B4F"/>
    <w:rsid w:val="009D28E7"/>
    <w:rsid w:val="00B153EA"/>
    <w:rsid w:val="00B67779"/>
    <w:rsid w:val="00C5380A"/>
    <w:rsid w:val="00D46FE0"/>
    <w:rsid w:val="00DC1AC2"/>
    <w:rsid w:val="4A2E6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1519</Characters>
  <Lines>12</Lines>
  <Paragraphs>3</Paragraphs>
  <TotalTime>15</TotalTime>
  <ScaleCrop>false</ScaleCrop>
  <LinksUpToDate>false</LinksUpToDate>
  <CharactersWithSpaces>1782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2018-04-04T03:25:00Z</dcterms:created>
  <dc:creator>刘潇翰</dc:creator>
  <cp:lastModifiedBy>Lenovo</cp:lastModifiedBy>
  <dcterms:modified xsi:type="dcterms:W3CDTF">2020-06-23T01:55:39Z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